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C97" w:rsidRPr="00581499" w:rsidRDefault="00AB2C97" w:rsidP="00AB2C97">
      <w:pPr>
        <w:spacing w:after="0"/>
        <w:ind w:firstLine="0"/>
        <w:outlineLvl w:val="2"/>
        <w:rPr>
          <w:rFonts w:eastAsia="Arial Unicode MS"/>
          <w:b/>
          <w:bCs/>
          <w:noProof/>
          <w:kern w:val="32"/>
          <w:lang w:val="es-ES" w:eastAsia="ko-KR"/>
        </w:rPr>
      </w:pPr>
      <w:bookmarkStart w:id="0" w:name="_Toc39584714"/>
      <w:bookmarkStart w:id="1" w:name="_Toc143821575"/>
      <w:r w:rsidRPr="00581499">
        <w:rPr>
          <w:rFonts w:eastAsia="Arial Unicode MS"/>
          <w:b/>
          <w:bCs/>
          <w:noProof/>
          <w:kern w:val="32"/>
          <w:lang w:val="es-ES" w:eastAsia="ko-KR"/>
        </w:rPr>
        <w:t>XƠ GAN</w:t>
      </w:r>
      <w:bookmarkEnd w:id="0"/>
      <w:r w:rsidRPr="00581499">
        <w:rPr>
          <w:rFonts w:eastAsia="Arial Unicode MS"/>
          <w:b/>
          <w:bCs/>
          <w:noProof/>
          <w:kern w:val="32"/>
          <w:lang w:val="es-ES" w:eastAsia="ko-KR"/>
        </w:rPr>
        <w:t xml:space="preserve">, </w:t>
      </w:r>
      <w:r w:rsidRPr="00581499">
        <w:rPr>
          <w:sz w:val="28"/>
          <w:szCs w:val="28"/>
        </w:rPr>
        <w:t>một bệnh thoái hoá mạn tính trong đó các tế bào gan bình thường bị phá huỷ và được thay thế bằng tổ chức xơ.</w:t>
      </w:r>
      <w:bookmarkEnd w:id="1"/>
    </w:p>
    <w:p w:rsidR="00AB2C97" w:rsidRPr="00581499" w:rsidRDefault="00AB2C97" w:rsidP="00AB2C97">
      <w:pPr>
        <w:rPr>
          <w:rFonts w:eastAsia="Arial Unicode MS"/>
          <w:b/>
          <w:bCs/>
          <w:noProof/>
          <w:kern w:val="32"/>
          <w:lang w:val="es-ES" w:eastAsia="ko-KR"/>
        </w:rPr>
      </w:pPr>
      <w:r w:rsidRPr="008B25B4">
        <w:rPr>
          <w:sz w:val="28"/>
          <w:szCs w:val="28"/>
          <w:lang w:val="es-ES"/>
        </w:rPr>
        <w:t xml:space="preserve">Xơ gan (XG) là một bệnh phổ biến ở nước ta cũng như nhiều nước khác trên thế giới, thường gặp độ tuổi trung niên, nam nhiều hơn nữ. Ở các nước phát triển, nguyên nhân chủ yếu là do rượu và các bệnh chuyển hoá. Ở các nước kém và đang phát triển, nguyên nhân chủ yếu là do nhiễm virus viêm gan B/C mạn tính và tình trạng lạm dụng bia rượu. </w:t>
      </w:r>
    </w:p>
    <w:p w:rsidR="00AB2C97" w:rsidRPr="008B25B4" w:rsidRDefault="00AB2C97" w:rsidP="00AB2C97">
      <w:pPr>
        <w:rPr>
          <w:sz w:val="28"/>
          <w:szCs w:val="28"/>
          <w:lang w:val="es-ES"/>
        </w:rPr>
      </w:pPr>
      <w:r w:rsidRPr="008B25B4">
        <w:rPr>
          <w:sz w:val="28"/>
          <w:szCs w:val="28"/>
          <w:lang w:val="es-ES"/>
        </w:rPr>
        <w:t xml:space="preserve">Trong XG, cấu trúc tiểu thuỳ gan và mạch máu bị thay đổi dẫn đến suy giảm chức năng của gan và tăng áp lực tĩnh mạch cửa. Bệnh tiến triển mạn tính và cuối cùng dẫn đến các biến chứng đe doạ tính mạng người bệnh. Một số biến chứng thường gặp: </w:t>
      </w:r>
      <w:r w:rsidRPr="008B25B4">
        <w:rPr>
          <w:rFonts w:eastAsia="Calibri"/>
          <w:sz w:val="28"/>
          <w:szCs w:val="28"/>
          <w:lang w:val="es-ES" w:eastAsia="x-none"/>
        </w:rPr>
        <w:t>x</w:t>
      </w:r>
      <w:r w:rsidRPr="00581499">
        <w:rPr>
          <w:rFonts w:eastAsia="Calibri"/>
          <w:sz w:val="28"/>
          <w:szCs w:val="28"/>
          <w:lang w:val="x-none" w:eastAsia="x-none"/>
        </w:rPr>
        <w:t>uất huyết tiêu hoá</w:t>
      </w:r>
      <w:r w:rsidRPr="008B25B4">
        <w:rPr>
          <w:rFonts w:eastAsia="Calibri"/>
          <w:sz w:val="28"/>
          <w:szCs w:val="28"/>
          <w:lang w:val="es-ES" w:eastAsia="x-none"/>
        </w:rPr>
        <w:t xml:space="preserve">. </w:t>
      </w:r>
      <w:r w:rsidRPr="00581499">
        <w:rPr>
          <w:rFonts w:eastAsia="Calibri"/>
          <w:sz w:val="28"/>
          <w:szCs w:val="28"/>
          <w:lang w:val="x-none" w:eastAsia="x-none"/>
        </w:rPr>
        <w:t>Bệnh não gan, hôn mê gan</w:t>
      </w:r>
      <w:r w:rsidRPr="008B25B4">
        <w:rPr>
          <w:rFonts w:eastAsia="Calibri"/>
          <w:sz w:val="28"/>
          <w:szCs w:val="28"/>
          <w:lang w:val="es-ES" w:eastAsia="x-none"/>
        </w:rPr>
        <w:t>.</w:t>
      </w:r>
      <w:r w:rsidRPr="008B25B4">
        <w:rPr>
          <w:sz w:val="28"/>
          <w:szCs w:val="28"/>
          <w:lang w:val="es-ES"/>
        </w:rPr>
        <w:t xml:space="preserve"> </w:t>
      </w:r>
      <w:r w:rsidRPr="00581499">
        <w:rPr>
          <w:rFonts w:eastAsia="Calibri"/>
          <w:sz w:val="28"/>
          <w:szCs w:val="28"/>
          <w:lang w:val="x-none" w:eastAsia="x-none"/>
        </w:rPr>
        <w:t>Cổ trướng và nhiễm trùng dịch cổ trướng</w:t>
      </w:r>
      <w:r w:rsidRPr="008B25B4">
        <w:rPr>
          <w:rFonts w:eastAsia="Calibri"/>
          <w:sz w:val="28"/>
          <w:szCs w:val="28"/>
          <w:lang w:val="es-ES" w:eastAsia="x-none"/>
        </w:rPr>
        <w:t xml:space="preserve">. </w:t>
      </w:r>
      <w:r w:rsidRPr="00581499">
        <w:rPr>
          <w:rFonts w:eastAsia="Calibri"/>
          <w:sz w:val="28"/>
          <w:szCs w:val="28"/>
          <w:lang w:val="x-none" w:eastAsia="x-none"/>
        </w:rPr>
        <w:t>Hội chứng gan thận</w:t>
      </w:r>
      <w:r w:rsidRPr="008B25B4">
        <w:rPr>
          <w:rFonts w:eastAsia="Calibri"/>
          <w:sz w:val="28"/>
          <w:szCs w:val="28"/>
          <w:lang w:val="es-ES" w:eastAsia="x-none"/>
        </w:rPr>
        <w:t xml:space="preserve">. </w:t>
      </w:r>
      <w:r w:rsidRPr="00581499">
        <w:rPr>
          <w:rFonts w:eastAsia="Calibri"/>
          <w:sz w:val="28"/>
          <w:szCs w:val="28"/>
          <w:lang w:val="x-none" w:eastAsia="x-none"/>
        </w:rPr>
        <w:t>Nhiễm khuẩn huyết</w:t>
      </w:r>
      <w:r w:rsidRPr="008B25B4">
        <w:rPr>
          <w:rFonts w:eastAsia="Calibri"/>
          <w:sz w:val="28"/>
          <w:szCs w:val="28"/>
          <w:lang w:val="es-ES" w:eastAsia="x-none"/>
        </w:rPr>
        <w:t xml:space="preserve">. </w:t>
      </w:r>
      <w:r w:rsidRPr="00581499">
        <w:rPr>
          <w:rFonts w:eastAsia="Calibri"/>
          <w:sz w:val="28"/>
          <w:szCs w:val="28"/>
          <w:lang w:val="x-none" w:eastAsia="x-none"/>
        </w:rPr>
        <w:t>Ung thư gan</w:t>
      </w:r>
      <w:r w:rsidRPr="008B25B4">
        <w:rPr>
          <w:rFonts w:eastAsia="Calibri"/>
          <w:sz w:val="28"/>
          <w:szCs w:val="28"/>
          <w:lang w:val="es-ES" w:eastAsia="x-none"/>
        </w:rPr>
        <w:t>.</w:t>
      </w:r>
      <w:r w:rsidRPr="008B25B4">
        <w:rPr>
          <w:sz w:val="28"/>
          <w:szCs w:val="28"/>
          <w:lang w:val="es-ES"/>
        </w:rPr>
        <w:t xml:space="preserve"> </w:t>
      </w:r>
      <w:r w:rsidRPr="00581499">
        <w:rPr>
          <w:rFonts w:eastAsia="Calibri"/>
          <w:sz w:val="28"/>
          <w:szCs w:val="28"/>
          <w:lang w:val="x-none" w:eastAsia="x-none"/>
        </w:rPr>
        <w:t>Bất lực nam giới, suy dinh dưỡng…</w:t>
      </w:r>
    </w:p>
    <w:p w:rsidR="00AB2C97" w:rsidRPr="00581499" w:rsidRDefault="00AB2C97" w:rsidP="00AB2C97">
      <w:pPr>
        <w:tabs>
          <w:tab w:val="left" w:pos="1080"/>
        </w:tabs>
        <w:spacing w:before="120" w:after="0"/>
        <w:rPr>
          <w:rFonts w:eastAsia="Calibri"/>
          <w:b/>
          <w:iCs/>
          <w:sz w:val="28"/>
          <w:szCs w:val="28"/>
          <w:lang w:val="es-ES"/>
        </w:rPr>
      </w:pPr>
      <w:r w:rsidRPr="00581499">
        <w:rPr>
          <w:rFonts w:eastAsia="Calibri"/>
          <w:b/>
          <w:iCs/>
          <w:sz w:val="28"/>
          <w:szCs w:val="28"/>
          <w:lang w:val="es-ES"/>
        </w:rPr>
        <w:t xml:space="preserve">Phân loại XG: </w:t>
      </w:r>
      <w:r w:rsidRPr="00581499">
        <w:rPr>
          <w:rFonts w:eastAsia="Calibri"/>
          <w:bCs/>
          <w:iCs/>
          <w:sz w:val="28"/>
          <w:szCs w:val="28"/>
          <w:lang w:val="es-ES"/>
        </w:rPr>
        <w:t>có các loại: 1)</w:t>
      </w:r>
      <w:r w:rsidRPr="008B25B4">
        <w:rPr>
          <w:sz w:val="28"/>
          <w:szCs w:val="28"/>
          <w:lang w:val="es-ES"/>
        </w:rPr>
        <w:t xml:space="preserve"> XG khoảng cửa hay XG dinh dưỡng, còn gọi XG Laenec`s. Thường liên quan đến nghiện rượu. </w:t>
      </w:r>
      <w:r w:rsidRPr="00581499">
        <w:rPr>
          <w:rFonts w:eastAsia="Calibri"/>
          <w:bCs/>
          <w:iCs/>
          <w:sz w:val="28"/>
          <w:szCs w:val="28"/>
          <w:lang w:val="es-ES"/>
        </w:rPr>
        <w:t>2)</w:t>
      </w:r>
      <w:r w:rsidRPr="00581499">
        <w:rPr>
          <w:rFonts w:eastAsia="Calibri"/>
          <w:b/>
          <w:iCs/>
          <w:sz w:val="28"/>
          <w:szCs w:val="28"/>
          <w:lang w:val="es-ES"/>
        </w:rPr>
        <w:t xml:space="preserve"> </w:t>
      </w:r>
      <w:r w:rsidRPr="008B25B4">
        <w:rPr>
          <w:sz w:val="28"/>
          <w:szCs w:val="28"/>
          <w:lang w:val="es-ES"/>
        </w:rPr>
        <w:t>XG mật do các bệnh lý đường mật trong gan làm tắc nghẽn đường mật, chiếm 15-20% số trường hợp.</w:t>
      </w:r>
      <w:r w:rsidRPr="00581499">
        <w:rPr>
          <w:rFonts w:eastAsia="Calibri"/>
          <w:b/>
          <w:iCs/>
          <w:sz w:val="28"/>
          <w:szCs w:val="28"/>
          <w:lang w:val="es-ES"/>
        </w:rPr>
        <w:t xml:space="preserve"> </w:t>
      </w:r>
      <w:r w:rsidRPr="00581499">
        <w:rPr>
          <w:rFonts w:eastAsia="Calibri"/>
          <w:bCs/>
          <w:iCs/>
          <w:sz w:val="28"/>
          <w:szCs w:val="28"/>
          <w:lang w:val="es-ES"/>
        </w:rPr>
        <w:t>3)</w:t>
      </w:r>
      <w:r w:rsidRPr="00581499">
        <w:rPr>
          <w:rFonts w:eastAsia="Calibri"/>
          <w:b/>
          <w:iCs/>
          <w:sz w:val="28"/>
          <w:szCs w:val="28"/>
          <w:lang w:val="es-ES"/>
        </w:rPr>
        <w:t xml:space="preserve"> </w:t>
      </w:r>
      <w:r w:rsidRPr="008B25B4">
        <w:rPr>
          <w:sz w:val="28"/>
          <w:szCs w:val="28"/>
          <w:lang w:val="es-ES"/>
        </w:rPr>
        <w:t>XG sau hoại tử liên quan đến nhiều bệnh viêm gan mạn tính, đặc biệt là viêm gan virus B và viêm gan virus C. Loại này hiếm khoảng 40% số trường hợp.</w:t>
      </w:r>
      <w:r w:rsidRPr="00581499">
        <w:rPr>
          <w:rFonts w:eastAsia="Calibri"/>
          <w:b/>
          <w:iCs/>
          <w:sz w:val="28"/>
          <w:szCs w:val="28"/>
          <w:lang w:val="es-ES"/>
        </w:rPr>
        <w:t xml:space="preserve"> </w:t>
      </w:r>
      <w:r w:rsidRPr="00581499">
        <w:rPr>
          <w:rFonts w:eastAsia="Calibri"/>
          <w:bCs/>
          <w:iCs/>
          <w:sz w:val="28"/>
          <w:szCs w:val="28"/>
          <w:lang w:val="es-ES"/>
        </w:rPr>
        <w:t>4)</w:t>
      </w:r>
      <w:r w:rsidRPr="00581499">
        <w:rPr>
          <w:rFonts w:eastAsia="Calibri"/>
          <w:b/>
          <w:iCs/>
          <w:sz w:val="28"/>
          <w:szCs w:val="28"/>
          <w:lang w:val="es-ES"/>
        </w:rPr>
        <w:t xml:space="preserve"> </w:t>
      </w:r>
      <w:r w:rsidRPr="008B25B4">
        <w:rPr>
          <w:sz w:val="28"/>
          <w:szCs w:val="28"/>
          <w:lang w:val="es-ES"/>
        </w:rPr>
        <w:t>Một số loại XG khác có liên quan đến các rối loạn chuyển hóa bẩm sinh như XG nhiễm sắt (hemochromatosis), XG nhiễm đồng (bệnh Wilson)…</w:t>
      </w:r>
      <w:r w:rsidRPr="008B25B4">
        <w:rPr>
          <w:b/>
          <w:bCs/>
          <w:sz w:val="28"/>
          <w:szCs w:val="28"/>
          <w:lang w:val="es-ES"/>
        </w:rPr>
        <w:t xml:space="preserve"> </w:t>
      </w:r>
    </w:p>
    <w:p w:rsidR="00AB2C97" w:rsidRPr="008B25B4" w:rsidRDefault="00AB2C97" w:rsidP="00AB2C97">
      <w:pPr>
        <w:tabs>
          <w:tab w:val="left" w:pos="1080"/>
        </w:tabs>
        <w:spacing w:before="120" w:after="0"/>
        <w:rPr>
          <w:sz w:val="28"/>
          <w:szCs w:val="28"/>
          <w:lang w:val="es-ES"/>
        </w:rPr>
      </w:pPr>
      <w:r w:rsidRPr="00581499">
        <w:rPr>
          <w:rFonts w:eastAsia="Calibri"/>
          <w:b/>
          <w:sz w:val="28"/>
          <w:szCs w:val="28"/>
          <w:lang w:val="es-ES"/>
        </w:rPr>
        <w:t xml:space="preserve">Nguyên nhân: </w:t>
      </w:r>
      <w:r w:rsidRPr="00581499">
        <w:rPr>
          <w:rFonts w:eastAsia="Calibri"/>
          <w:bCs/>
          <w:sz w:val="28"/>
          <w:szCs w:val="28"/>
          <w:lang w:val="es-ES"/>
        </w:rPr>
        <w:t>1)</w:t>
      </w:r>
      <w:r w:rsidRPr="00581499">
        <w:rPr>
          <w:rFonts w:eastAsia="Calibri"/>
          <w:b/>
          <w:sz w:val="28"/>
          <w:szCs w:val="28"/>
          <w:lang w:val="es-ES"/>
        </w:rPr>
        <w:t xml:space="preserve"> </w:t>
      </w:r>
      <w:r w:rsidRPr="008B25B4">
        <w:rPr>
          <w:bCs/>
          <w:sz w:val="28"/>
          <w:szCs w:val="28"/>
          <w:lang w:val="es-ES"/>
        </w:rPr>
        <w:t>Nghiện rượu</w:t>
      </w:r>
      <w:r w:rsidRPr="00581499">
        <w:rPr>
          <w:rFonts w:eastAsia="Calibri"/>
          <w:b/>
          <w:sz w:val="28"/>
          <w:szCs w:val="28"/>
          <w:lang w:val="es-ES"/>
        </w:rPr>
        <w:t xml:space="preserve"> </w:t>
      </w:r>
      <w:r w:rsidRPr="00581499">
        <w:rPr>
          <w:rFonts w:eastAsia="Calibri"/>
          <w:bCs/>
          <w:sz w:val="28"/>
          <w:szCs w:val="28"/>
          <w:lang w:val="es-ES"/>
        </w:rPr>
        <w:t>2)</w:t>
      </w:r>
      <w:r w:rsidRPr="008B25B4">
        <w:rPr>
          <w:bCs/>
          <w:sz w:val="28"/>
          <w:szCs w:val="28"/>
          <w:lang w:val="es-ES"/>
        </w:rPr>
        <w:t xml:space="preserve"> Viêm gan virus mạn tính (viêm gan virus B, C).</w:t>
      </w:r>
      <w:r w:rsidRPr="00581499">
        <w:rPr>
          <w:rFonts w:eastAsia="Calibri"/>
          <w:b/>
          <w:sz w:val="28"/>
          <w:szCs w:val="28"/>
          <w:lang w:val="es-ES"/>
        </w:rPr>
        <w:t xml:space="preserve"> </w:t>
      </w:r>
      <w:r w:rsidRPr="008B25B4">
        <w:rPr>
          <w:bCs/>
          <w:sz w:val="28"/>
          <w:szCs w:val="28"/>
          <w:lang w:val="es-ES"/>
        </w:rPr>
        <w:t>3) Viêm gan nhiễm độc do thuốc hoặc hóa chất</w:t>
      </w:r>
      <w:r w:rsidRPr="00581499">
        <w:rPr>
          <w:rFonts w:eastAsia="Calibri"/>
          <w:b/>
          <w:sz w:val="28"/>
          <w:szCs w:val="28"/>
          <w:lang w:val="es-ES"/>
        </w:rPr>
        <w:t xml:space="preserve">. </w:t>
      </w:r>
      <w:r w:rsidRPr="008B25B4">
        <w:rPr>
          <w:bCs/>
          <w:sz w:val="28"/>
          <w:szCs w:val="28"/>
          <w:lang w:val="es-ES"/>
        </w:rPr>
        <w:t>4) XG tim (gan ứ huyết lâu dài do suy tim dẫn đến tổn thương gan, XG)</w:t>
      </w:r>
      <w:r w:rsidRPr="00581499">
        <w:rPr>
          <w:rFonts w:eastAsia="Calibri"/>
          <w:b/>
          <w:sz w:val="28"/>
          <w:szCs w:val="28"/>
          <w:lang w:val="es-ES"/>
        </w:rPr>
        <w:t xml:space="preserve">. </w:t>
      </w:r>
      <w:r w:rsidRPr="008B25B4">
        <w:rPr>
          <w:bCs/>
          <w:sz w:val="28"/>
          <w:szCs w:val="28"/>
          <w:lang w:val="es-ES"/>
        </w:rPr>
        <w:t>5) Các rối loạn có tính chất di truyền:</w:t>
      </w:r>
      <w:r w:rsidRPr="00581499">
        <w:rPr>
          <w:rFonts w:eastAsia="Calibri"/>
          <w:b/>
          <w:sz w:val="28"/>
          <w:szCs w:val="28"/>
          <w:lang w:val="es-ES"/>
        </w:rPr>
        <w:t xml:space="preserve"> </w:t>
      </w:r>
      <w:r w:rsidRPr="00581499">
        <w:rPr>
          <w:rFonts w:eastAsia="Calibri"/>
          <w:bCs/>
          <w:sz w:val="28"/>
          <w:szCs w:val="28"/>
          <w:lang w:val="es-ES"/>
        </w:rPr>
        <w:t>(1)</w:t>
      </w:r>
      <w:r w:rsidRPr="00581499">
        <w:rPr>
          <w:rFonts w:eastAsia="Calibri"/>
          <w:b/>
          <w:sz w:val="28"/>
          <w:szCs w:val="28"/>
          <w:lang w:val="es-ES"/>
        </w:rPr>
        <w:t xml:space="preserve"> </w:t>
      </w:r>
      <w:r w:rsidRPr="00581499">
        <w:rPr>
          <w:rFonts w:eastAsia="Calibri"/>
          <w:sz w:val="28"/>
          <w:szCs w:val="28"/>
          <w:lang w:val="x-none" w:eastAsia="x-none"/>
        </w:rPr>
        <w:t>Thiếu ezyme gan đặc hiệu (thiếu men alpha1-antitrypsin)</w:t>
      </w:r>
      <w:r w:rsidRPr="008B25B4">
        <w:rPr>
          <w:rFonts w:eastAsia="Calibri"/>
          <w:sz w:val="28"/>
          <w:szCs w:val="28"/>
          <w:lang w:val="es-ES" w:eastAsia="x-none"/>
        </w:rPr>
        <w:t xml:space="preserve">. </w:t>
      </w:r>
      <w:r w:rsidRPr="008B25B4">
        <w:rPr>
          <w:rFonts w:eastAsia="Calibri"/>
          <w:bCs/>
          <w:sz w:val="28"/>
          <w:szCs w:val="28"/>
          <w:lang w:val="es-ES"/>
        </w:rPr>
        <w:t>(2)</w:t>
      </w:r>
      <w:r w:rsidRPr="008B25B4">
        <w:rPr>
          <w:rFonts w:eastAsia="Calibri"/>
          <w:b/>
          <w:sz w:val="28"/>
          <w:szCs w:val="28"/>
          <w:lang w:val="es-ES"/>
        </w:rPr>
        <w:t xml:space="preserve"> </w:t>
      </w:r>
      <w:r w:rsidRPr="00581499">
        <w:rPr>
          <w:rFonts w:eastAsia="Calibri"/>
          <w:sz w:val="28"/>
          <w:szCs w:val="28"/>
          <w:lang w:val="x-none" w:eastAsia="x-none"/>
        </w:rPr>
        <w:t>Thiếu ezyme tiêu hóa sữa (bệnh galactosemia)</w:t>
      </w:r>
      <w:r w:rsidRPr="008B25B4">
        <w:rPr>
          <w:rFonts w:eastAsia="Calibri"/>
          <w:b/>
          <w:sz w:val="28"/>
          <w:szCs w:val="28"/>
          <w:lang w:val="es-ES"/>
        </w:rPr>
        <w:t xml:space="preserve">. </w:t>
      </w:r>
      <w:r w:rsidRPr="008B25B4">
        <w:rPr>
          <w:rFonts w:eastAsia="Calibri"/>
          <w:bCs/>
          <w:sz w:val="28"/>
          <w:szCs w:val="28"/>
          <w:lang w:val="es-ES"/>
        </w:rPr>
        <w:t>(3)</w:t>
      </w:r>
      <w:r w:rsidRPr="008B25B4">
        <w:rPr>
          <w:rFonts w:eastAsia="Calibri"/>
          <w:b/>
          <w:sz w:val="28"/>
          <w:szCs w:val="28"/>
          <w:lang w:val="es-ES"/>
        </w:rPr>
        <w:t xml:space="preserve"> </w:t>
      </w:r>
      <w:r w:rsidRPr="00581499">
        <w:rPr>
          <w:rFonts w:eastAsia="Calibri"/>
          <w:sz w:val="28"/>
          <w:szCs w:val="28"/>
          <w:lang w:val="x-none" w:eastAsia="x-none"/>
        </w:rPr>
        <w:t>Rối loạn chuyển hóa sắt (ứ đọng sắt ở gan, tim, tụy và các cơ quan khác)</w:t>
      </w:r>
      <w:r w:rsidRPr="008B25B4">
        <w:rPr>
          <w:rFonts w:eastAsia="Calibri"/>
          <w:sz w:val="28"/>
          <w:szCs w:val="28"/>
          <w:lang w:val="es-ES"/>
        </w:rPr>
        <w:t>. (4)</w:t>
      </w:r>
      <w:r w:rsidRPr="008B25B4">
        <w:rPr>
          <w:rFonts w:eastAsia="Calibri"/>
          <w:b/>
          <w:sz w:val="28"/>
          <w:szCs w:val="28"/>
          <w:lang w:val="es-ES"/>
        </w:rPr>
        <w:t xml:space="preserve"> </w:t>
      </w:r>
      <w:r w:rsidRPr="00581499">
        <w:rPr>
          <w:rFonts w:eastAsia="Calibri"/>
          <w:sz w:val="28"/>
          <w:szCs w:val="28"/>
          <w:lang w:val="x-none" w:eastAsia="x-none"/>
        </w:rPr>
        <w:t>Rối loạn chuyển hóa đồng (ứ đọng đồng ở gan, não, thận, võng mạc)</w:t>
      </w:r>
      <w:r w:rsidRPr="008B25B4">
        <w:rPr>
          <w:rFonts w:eastAsia="Calibri"/>
          <w:sz w:val="28"/>
          <w:szCs w:val="28"/>
          <w:lang w:val="es-ES" w:eastAsia="x-none"/>
        </w:rPr>
        <w:t xml:space="preserve">  </w:t>
      </w:r>
      <w:r w:rsidRPr="00581499">
        <w:rPr>
          <w:rFonts w:eastAsia="Calibri"/>
          <w:sz w:val="28"/>
          <w:szCs w:val="28"/>
          <w:lang w:val="x-none" w:eastAsia="x-none"/>
        </w:rPr>
        <w:t>- bệnh Wilson.</w:t>
      </w:r>
      <w:r w:rsidRPr="008B25B4">
        <w:rPr>
          <w:rFonts w:eastAsia="Calibri"/>
          <w:b/>
          <w:sz w:val="28"/>
          <w:szCs w:val="28"/>
          <w:lang w:val="es-ES"/>
        </w:rPr>
        <w:t xml:space="preserve"> </w:t>
      </w:r>
      <w:r w:rsidRPr="008B25B4">
        <w:rPr>
          <w:rFonts w:eastAsia="Calibri"/>
          <w:bCs/>
          <w:sz w:val="28"/>
          <w:szCs w:val="28"/>
          <w:lang w:val="es-ES"/>
        </w:rPr>
        <w:t>(5)</w:t>
      </w:r>
      <w:r w:rsidRPr="008B25B4">
        <w:rPr>
          <w:rFonts w:eastAsia="Calibri"/>
          <w:b/>
          <w:sz w:val="28"/>
          <w:szCs w:val="28"/>
          <w:lang w:val="es-ES"/>
        </w:rPr>
        <w:t xml:space="preserve"> </w:t>
      </w:r>
      <w:r w:rsidRPr="008B25B4">
        <w:rPr>
          <w:sz w:val="28"/>
          <w:szCs w:val="28"/>
          <w:lang w:val="es-ES"/>
        </w:rPr>
        <w:t>Béo phì gần đây cũng được xem là một yếu tố nguy cơ của viêm gan không do rượu và XG.</w:t>
      </w:r>
      <w:r w:rsidRPr="008B25B4">
        <w:rPr>
          <w:rFonts w:eastAsia="Calibri"/>
          <w:b/>
          <w:sz w:val="28"/>
          <w:szCs w:val="28"/>
          <w:lang w:val="es-ES"/>
        </w:rPr>
        <w:t xml:space="preserve"> </w:t>
      </w:r>
      <w:r w:rsidRPr="008B25B4">
        <w:rPr>
          <w:sz w:val="28"/>
          <w:szCs w:val="28"/>
          <w:lang w:val="es-ES"/>
        </w:rPr>
        <w:t xml:space="preserve">(6) Tình trạng dinh dưỡng kém cũng làm </w:t>
      </w:r>
      <w:r w:rsidRPr="008B25B4">
        <w:rPr>
          <w:sz w:val="28"/>
          <w:szCs w:val="28"/>
          <w:lang w:val="es-ES"/>
        </w:rPr>
        <w:lastRenderedPageBreak/>
        <w:t>tăng nguy cơ phát triển bệnh XG. Ngoài ra có khoảng 10% số trường hợp không xác định được nguyên nhân.</w:t>
      </w:r>
    </w:p>
    <w:p w:rsidR="00AB2C97" w:rsidRPr="008B25B4" w:rsidRDefault="00AB2C97" w:rsidP="00AB2C97">
      <w:pPr>
        <w:tabs>
          <w:tab w:val="left" w:pos="1080"/>
        </w:tabs>
        <w:spacing w:before="120" w:after="0"/>
        <w:rPr>
          <w:rFonts w:eastAsia="Calibri"/>
          <w:b/>
          <w:bCs/>
          <w:sz w:val="28"/>
          <w:szCs w:val="28"/>
          <w:lang w:val="es-ES"/>
        </w:rPr>
      </w:pPr>
      <w:r w:rsidRPr="008B25B4">
        <w:rPr>
          <w:b/>
          <w:bCs/>
          <w:sz w:val="28"/>
          <w:szCs w:val="28"/>
          <w:lang w:val="es-ES"/>
        </w:rPr>
        <w:t xml:space="preserve">Triệu chứng: </w:t>
      </w:r>
      <w:r w:rsidRPr="008B25B4">
        <w:rPr>
          <w:sz w:val="28"/>
          <w:szCs w:val="28"/>
          <w:lang w:val="es-ES"/>
        </w:rPr>
        <w:t>XG tiến triển thầm lặng, nhiều trường hợp bị XG nhưng không có triệu chứng lâm sàng (thường gọi XG còn bù), phát hiện tình cờ khi đi khám sức khỏe hoặc khám bệnh khác. Thường khi có biến chứng mới phát hiện XG.</w:t>
      </w:r>
    </w:p>
    <w:p w:rsidR="00AB2C97" w:rsidRPr="008B25B4" w:rsidRDefault="00AB2C97" w:rsidP="00AB2C97">
      <w:pPr>
        <w:rPr>
          <w:sz w:val="28"/>
          <w:szCs w:val="28"/>
          <w:lang w:val="es-ES"/>
        </w:rPr>
      </w:pPr>
      <w:r w:rsidRPr="008B25B4">
        <w:rPr>
          <w:sz w:val="28"/>
          <w:szCs w:val="28"/>
          <w:lang w:val="es-ES"/>
        </w:rPr>
        <w:t>Các triệu chứng của xơ gan liên quan đến tình trạng suy chức năng gan và tăng áp lực tĩnh mạch cửa. Các triệu chứng có thể gặp: g</w:t>
      </w:r>
      <w:r w:rsidRPr="00581499">
        <w:rPr>
          <w:rFonts w:eastAsia="Calibri"/>
          <w:sz w:val="28"/>
          <w:szCs w:val="28"/>
          <w:lang w:val="x-none" w:eastAsia="x-none"/>
        </w:rPr>
        <w:t>an to</w:t>
      </w:r>
      <w:r w:rsidRPr="008B25B4">
        <w:rPr>
          <w:rFonts w:eastAsia="Calibri"/>
          <w:sz w:val="28"/>
          <w:szCs w:val="28"/>
          <w:lang w:val="es-ES" w:eastAsia="x-none"/>
        </w:rPr>
        <w:t>, d</w:t>
      </w:r>
      <w:r w:rsidRPr="00581499">
        <w:rPr>
          <w:rFonts w:eastAsia="Calibri"/>
          <w:sz w:val="28"/>
          <w:szCs w:val="28"/>
          <w:lang w:val="x-none" w:eastAsia="x-none"/>
        </w:rPr>
        <w:t>a xạm, bàn tay son</w:t>
      </w:r>
      <w:r w:rsidRPr="008B25B4">
        <w:rPr>
          <w:rFonts w:eastAsia="Calibri"/>
          <w:sz w:val="28"/>
          <w:szCs w:val="28"/>
          <w:lang w:val="es-ES" w:eastAsia="x-none"/>
        </w:rPr>
        <w:t>.</w:t>
      </w:r>
      <w:r w:rsidRPr="008B25B4">
        <w:rPr>
          <w:sz w:val="28"/>
          <w:szCs w:val="28"/>
          <w:lang w:val="es-ES"/>
        </w:rPr>
        <w:t xml:space="preserve"> </w:t>
      </w:r>
      <w:r w:rsidRPr="008B25B4">
        <w:rPr>
          <w:rFonts w:eastAsia="Calibri"/>
          <w:sz w:val="28"/>
          <w:szCs w:val="28"/>
          <w:lang w:val="es-ES" w:eastAsia="x-none"/>
        </w:rPr>
        <w:t>t</w:t>
      </w:r>
      <w:r w:rsidRPr="00581499">
        <w:rPr>
          <w:rFonts w:eastAsia="Calibri"/>
          <w:sz w:val="28"/>
          <w:szCs w:val="28"/>
          <w:lang w:val="x-none" w:eastAsia="x-none"/>
        </w:rPr>
        <w:t>áo bón hoặc tiêu chảy</w:t>
      </w:r>
      <w:r w:rsidRPr="008B25B4">
        <w:rPr>
          <w:rFonts w:eastAsia="Calibri"/>
          <w:sz w:val="28"/>
          <w:szCs w:val="28"/>
          <w:lang w:val="es-ES" w:eastAsia="x-none"/>
        </w:rPr>
        <w:t>, đ</w:t>
      </w:r>
      <w:r w:rsidRPr="00581499">
        <w:rPr>
          <w:rFonts w:eastAsia="Calibri"/>
          <w:sz w:val="28"/>
          <w:szCs w:val="28"/>
          <w:lang w:val="x-none" w:eastAsia="x-none"/>
        </w:rPr>
        <w:t>au tức hạ sườn phải</w:t>
      </w:r>
      <w:r w:rsidRPr="008B25B4">
        <w:rPr>
          <w:rFonts w:eastAsia="Calibri"/>
          <w:sz w:val="28"/>
          <w:szCs w:val="28"/>
          <w:lang w:val="es-ES" w:eastAsia="x-none"/>
        </w:rPr>
        <w:t>, c</w:t>
      </w:r>
      <w:r w:rsidRPr="00581499">
        <w:rPr>
          <w:rFonts w:eastAsia="Calibri"/>
          <w:sz w:val="28"/>
          <w:szCs w:val="28"/>
          <w:lang w:val="x-none" w:eastAsia="x-none"/>
        </w:rPr>
        <w:t>hán ăn, khó tiêu</w:t>
      </w:r>
      <w:r w:rsidRPr="008B25B4">
        <w:rPr>
          <w:rFonts w:eastAsia="Calibri"/>
          <w:sz w:val="28"/>
          <w:szCs w:val="28"/>
          <w:lang w:val="es-ES" w:eastAsia="x-none"/>
        </w:rPr>
        <w:t>, b</w:t>
      </w:r>
      <w:r w:rsidRPr="00581499">
        <w:rPr>
          <w:rFonts w:eastAsia="Calibri"/>
          <w:sz w:val="28"/>
          <w:szCs w:val="28"/>
          <w:lang w:val="x-none" w:eastAsia="x-none"/>
        </w:rPr>
        <w:t>uồn nôn, nôn</w:t>
      </w:r>
      <w:r w:rsidRPr="008B25B4">
        <w:rPr>
          <w:rFonts w:eastAsia="Calibri"/>
          <w:sz w:val="28"/>
          <w:szCs w:val="28"/>
          <w:lang w:val="es-ES" w:eastAsia="x-none"/>
        </w:rPr>
        <w:t>.</w:t>
      </w:r>
      <w:r w:rsidRPr="008B25B4">
        <w:rPr>
          <w:sz w:val="28"/>
          <w:szCs w:val="28"/>
          <w:lang w:val="es-ES"/>
        </w:rPr>
        <w:t xml:space="preserve"> </w:t>
      </w:r>
      <w:r w:rsidRPr="00581499">
        <w:rPr>
          <w:rFonts w:eastAsia="Calibri"/>
          <w:sz w:val="28"/>
          <w:szCs w:val="28"/>
          <w:lang w:val="x-none" w:eastAsia="x-none"/>
        </w:rPr>
        <w:t>Yếu mệt, sụt cân</w:t>
      </w:r>
      <w:r w:rsidRPr="008B25B4">
        <w:rPr>
          <w:rFonts w:eastAsia="Calibri"/>
          <w:sz w:val="28"/>
          <w:szCs w:val="28"/>
          <w:lang w:val="es-ES" w:eastAsia="x-none"/>
        </w:rPr>
        <w:t>.</w:t>
      </w:r>
    </w:p>
    <w:p w:rsidR="00AB2C97" w:rsidRPr="008B25B4" w:rsidRDefault="00AB2C97" w:rsidP="00AB2C97">
      <w:pPr>
        <w:rPr>
          <w:sz w:val="28"/>
          <w:szCs w:val="28"/>
          <w:lang w:val="es-ES"/>
        </w:rPr>
      </w:pPr>
      <w:r w:rsidRPr="008B25B4">
        <w:rPr>
          <w:sz w:val="28"/>
          <w:szCs w:val="28"/>
          <w:lang w:val="es-ES"/>
        </w:rPr>
        <w:t>Khi bệnh tiến triển, có thể xuất hiện lách to, cổ trướng, phù chân, sao mạch, lông tóc thưa rụng. Nam giới có thể xuất hiện vú to, teo nhỏ tinh hoàn. Nữ giới có rối loạn kinh nguyệt.</w:t>
      </w:r>
    </w:p>
    <w:p w:rsidR="00AB2C97" w:rsidRPr="008B25B4" w:rsidRDefault="00AB2C97" w:rsidP="00AB2C97">
      <w:pPr>
        <w:rPr>
          <w:sz w:val="28"/>
          <w:szCs w:val="28"/>
          <w:lang w:val="es-ES"/>
        </w:rPr>
      </w:pPr>
      <w:r w:rsidRPr="008B25B4">
        <w:rPr>
          <w:sz w:val="28"/>
          <w:szCs w:val="28"/>
          <w:lang w:val="es-ES"/>
        </w:rPr>
        <w:t>Vàng da, nước tiểu vàng, đi ngoài ra máu cũng thường gặp. Nôn ra máu, đi ngoài phân đen là các triệu chứng xuất huyết tiêu hóa liên quan đến tình trạng tăng áp lực tĩnh mạch cửa của xơ gan.</w:t>
      </w:r>
    </w:p>
    <w:p w:rsidR="00AB2C97" w:rsidRPr="008B25B4" w:rsidRDefault="00AB2C97" w:rsidP="00AB2C97">
      <w:pPr>
        <w:rPr>
          <w:sz w:val="28"/>
          <w:szCs w:val="28"/>
          <w:lang w:val="es-ES"/>
        </w:rPr>
      </w:pPr>
      <w:r w:rsidRPr="008B25B4">
        <w:rPr>
          <w:sz w:val="28"/>
          <w:szCs w:val="28"/>
          <w:lang w:val="es-ES"/>
        </w:rPr>
        <w:t xml:space="preserve">Ngoài ra có thể gặp một số triệu chứng khác: </w:t>
      </w:r>
      <w:r w:rsidRPr="008B25B4">
        <w:rPr>
          <w:rFonts w:eastAsia="Calibri"/>
          <w:sz w:val="28"/>
          <w:szCs w:val="28"/>
          <w:lang w:val="es-ES" w:eastAsia="x-none"/>
        </w:rPr>
        <w:t>t</w:t>
      </w:r>
      <w:r w:rsidRPr="00581499">
        <w:rPr>
          <w:rFonts w:eastAsia="Calibri"/>
          <w:sz w:val="28"/>
          <w:szCs w:val="28"/>
          <w:lang w:val="x-none" w:eastAsia="x-none"/>
        </w:rPr>
        <w:t>hiếu máu</w:t>
      </w:r>
      <w:r w:rsidRPr="008B25B4">
        <w:rPr>
          <w:sz w:val="28"/>
          <w:szCs w:val="28"/>
          <w:lang w:val="es-ES"/>
        </w:rPr>
        <w:t xml:space="preserve">, </w:t>
      </w:r>
      <w:r w:rsidRPr="008B25B4">
        <w:rPr>
          <w:rFonts w:eastAsia="Calibri"/>
          <w:sz w:val="28"/>
          <w:szCs w:val="28"/>
          <w:lang w:val="es-ES" w:eastAsia="x-none"/>
        </w:rPr>
        <w:t>c</w:t>
      </w:r>
      <w:r w:rsidRPr="00581499">
        <w:rPr>
          <w:rFonts w:eastAsia="Calibri"/>
          <w:sz w:val="28"/>
          <w:szCs w:val="28"/>
          <w:lang w:val="x-none" w:eastAsia="x-none"/>
        </w:rPr>
        <w:t>hảy máu chân r</w:t>
      </w:r>
      <w:r w:rsidRPr="008B25B4">
        <w:rPr>
          <w:rFonts w:eastAsia="Calibri"/>
          <w:sz w:val="28"/>
          <w:szCs w:val="28"/>
          <w:lang w:val="es-ES" w:eastAsia="x-none"/>
        </w:rPr>
        <w:t>ă</w:t>
      </w:r>
      <w:r w:rsidRPr="00581499">
        <w:rPr>
          <w:rFonts w:eastAsia="Calibri"/>
          <w:sz w:val="28"/>
          <w:szCs w:val="28"/>
          <w:lang w:val="x-none" w:eastAsia="x-none"/>
        </w:rPr>
        <w:t>ng</w:t>
      </w:r>
      <w:r w:rsidRPr="008B25B4">
        <w:rPr>
          <w:sz w:val="28"/>
          <w:szCs w:val="28"/>
          <w:lang w:val="es-ES"/>
        </w:rPr>
        <w:t xml:space="preserve">, </w:t>
      </w:r>
      <w:r w:rsidRPr="008B25B4">
        <w:rPr>
          <w:rFonts w:eastAsia="Calibri"/>
          <w:sz w:val="28"/>
          <w:szCs w:val="28"/>
          <w:lang w:val="es-ES" w:eastAsia="x-none"/>
        </w:rPr>
        <w:t>g</w:t>
      </w:r>
      <w:r w:rsidRPr="00581499">
        <w:rPr>
          <w:rFonts w:eastAsia="Calibri"/>
          <w:sz w:val="28"/>
          <w:szCs w:val="28"/>
          <w:lang w:val="x-none" w:eastAsia="x-none"/>
        </w:rPr>
        <w:t>iảm ham muốn tình dục</w:t>
      </w:r>
      <w:r w:rsidRPr="008B25B4">
        <w:rPr>
          <w:sz w:val="28"/>
          <w:szCs w:val="28"/>
          <w:lang w:val="es-ES"/>
        </w:rPr>
        <w:t xml:space="preserve">, </w:t>
      </w:r>
      <w:r w:rsidRPr="008B25B4">
        <w:rPr>
          <w:rFonts w:eastAsia="Calibri"/>
          <w:sz w:val="28"/>
          <w:szCs w:val="28"/>
          <w:lang w:val="es-ES" w:eastAsia="x-none"/>
        </w:rPr>
        <w:t>s</w:t>
      </w:r>
      <w:r w:rsidRPr="00581499">
        <w:rPr>
          <w:rFonts w:eastAsia="Calibri"/>
          <w:sz w:val="28"/>
          <w:szCs w:val="28"/>
          <w:lang w:val="x-none" w:eastAsia="x-none"/>
        </w:rPr>
        <w:t>ốt</w:t>
      </w:r>
      <w:r w:rsidRPr="008B25B4">
        <w:rPr>
          <w:sz w:val="28"/>
          <w:szCs w:val="28"/>
          <w:lang w:val="es-ES"/>
        </w:rPr>
        <w:t xml:space="preserve">, </w:t>
      </w:r>
      <w:r w:rsidRPr="008B25B4">
        <w:rPr>
          <w:rFonts w:eastAsia="Calibri"/>
          <w:sz w:val="28"/>
          <w:szCs w:val="28"/>
          <w:lang w:val="es-ES" w:eastAsia="x-none"/>
        </w:rPr>
        <w:t>t</w:t>
      </w:r>
      <w:r w:rsidRPr="00581499">
        <w:rPr>
          <w:rFonts w:eastAsia="Calibri"/>
          <w:sz w:val="28"/>
          <w:szCs w:val="28"/>
          <w:lang w:val="x-none" w:eastAsia="x-none"/>
        </w:rPr>
        <w:t>ràn dịch màng phổi</w:t>
      </w:r>
      <w:r w:rsidRPr="008B25B4">
        <w:rPr>
          <w:rFonts w:eastAsia="Calibri"/>
          <w:sz w:val="28"/>
          <w:szCs w:val="28"/>
          <w:lang w:val="es-ES" w:eastAsia="x-none"/>
        </w:rPr>
        <w:t>,</w:t>
      </w:r>
      <w:r w:rsidRPr="008B25B4">
        <w:rPr>
          <w:sz w:val="28"/>
          <w:szCs w:val="28"/>
          <w:lang w:val="es-ES"/>
        </w:rPr>
        <w:t xml:space="preserve"> </w:t>
      </w:r>
      <w:r w:rsidRPr="008B25B4">
        <w:rPr>
          <w:rFonts w:eastAsia="Calibri"/>
          <w:sz w:val="28"/>
          <w:szCs w:val="28"/>
          <w:lang w:val="es-ES" w:eastAsia="x-none"/>
        </w:rPr>
        <w:t>y</w:t>
      </w:r>
      <w:r w:rsidRPr="00581499">
        <w:rPr>
          <w:rFonts w:eastAsia="Calibri"/>
          <w:sz w:val="28"/>
          <w:szCs w:val="28"/>
          <w:lang w:val="x-none" w:eastAsia="x-none"/>
        </w:rPr>
        <w:t>ếu cơ, chân tay teo nhẽo</w:t>
      </w:r>
      <w:r w:rsidRPr="008B25B4">
        <w:rPr>
          <w:sz w:val="28"/>
          <w:szCs w:val="28"/>
          <w:lang w:val="es-ES"/>
        </w:rPr>
        <w:t xml:space="preserve">. </w:t>
      </w:r>
      <w:r w:rsidRPr="008B25B4">
        <w:rPr>
          <w:rFonts w:eastAsia="Calibri"/>
          <w:sz w:val="28"/>
          <w:szCs w:val="28"/>
          <w:lang w:val="es-ES" w:eastAsia="x-none"/>
        </w:rPr>
        <w:t>r</w:t>
      </w:r>
      <w:r w:rsidRPr="00581499">
        <w:rPr>
          <w:rFonts w:eastAsia="Calibri"/>
          <w:sz w:val="28"/>
          <w:szCs w:val="28"/>
          <w:lang w:val="x-none" w:eastAsia="x-none"/>
        </w:rPr>
        <w:t>un giật…</w:t>
      </w:r>
    </w:p>
    <w:p w:rsidR="00AB2C97" w:rsidRPr="008B25B4" w:rsidRDefault="00AB2C97" w:rsidP="00AB2C97">
      <w:pPr>
        <w:spacing w:before="120" w:after="0"/>
        <w:rPr>
          <w:sz w:val="28"/>
          <w:szCs w:val="28"/>
          <w:lang w:val="es-ES"/>
        </w:rPr>
      </w:pPr>
      <w:r w:rsidRPr="008B25B4">
        <w:rPr>
          <w:sz w:val="28"/>
          <w:szCs w:val="28"/>
          <w:lang w:val="es-ES"/>
        </w:rPr>
        <w:t>Nếu gan mất khả năng đào thải chất độc ra khỏi não, bệnh nhân có thêm các triệu chứng về tâm thần kinh: giảm sự tập trung, giảm trí nhớ, rối loạn giấc ngủ, phản ứng chậm chạp. Thậm chí trường hợp nặng bệnh nhân bị hôn mê. Các triệu chứng này liên quan đến tình trạng nhiễm độc ammoniac mà gan không thể chuyển hóa thành ure được. Có một số yếu tố thúc đẩy biến chứng não gan này như xuất huyết tiêu hóa, nhiễm trùng, rối loạn điện giải, ăn nhiều đạm…</w:t>
      </w:r>
    </w:p>
    <w:p w:rsidR="00AB2C97" w:rsidRPr="00581499" w:rsidRDefault="00AB2C97" w:rsidP="00AB2C97">
      <w:pPr>
        <w:tabs>
          <w:tab w:val="left" w:pos="1080"/>
        </w:tabs>
        <w:spacing w:before="120" w:after="0"/>
        <w:rPr>
          <w:rFonts w:eastAsia="Calibri"/>
          <w:bCs/>
          <w:sz w:val="28"/>
          <w:szCs w:val="28"/>
          <w:lang w:val="es-ES"/>
        </w:rPr>
      </w:pPr>
      <w:r w:rsidRPr="00581499">
        <w:rPr>
          <w:rFonts w:eastAsia="Calibri"/>
          <w:b/>
          <w:sz w:val="28"/>
          <w:szCs w:val="28"/>
          <w:lang w:val="es-ES"/>
        </w:rPr>
        <w:t xml:space="preserve">Chẩn đoán: </w:t>
      </w:r>
      <w:r w:rsidRPr="00581499">
        <w:rPr>
          <w:rFonts w:eastAsia="Calibri"/>
          <w:bCs/>
          <w:sz w:val="28"/>
          <w:szCs w:val="28"/>
          <w:lang w:val="es-ES"/>
        </w:rPr>
        <w:t>1)</w:t>
      </w:r>
      <w:r w:rsidRPr="00581499">
        <w:rPr>
          <w:rFonts w:eastAsia="Calibri"/>
          <w:b/>
          <w:sz w:val="28"/>
          <w:szCs w:val="28"/>
          <w:lang w:val="es-ES"/>
        </w:rPr>
        <w:t xml:space="preserve"> </w:t>
      </w:r>
      <w:r w:rsidRPr="008B25B4">
        <w:rPr>
          <w:sz w:val="28"/>
          <w:szCs w:val="28"/>
          <w:lang w:val="es-ES"/>
        </w:rPr>
        <w:t>Khai thác tiền sử bệnh nhân để nhận biết các nguy cơ dẫn tới XG. Khám lâm sàng có thể phát hiện thay đổi về gan. Một số xét nghiệm máu hoặc nước tiểu đánh giá tình trạng chức năng gan. Tuy nhiên nhiều trường hợp mặc dù đã có XG nhưng các xét nghiệm này vẫn trong giới hạn bình thường.</w:t>
      </w:r>
      <w:r w:rsidRPr="00581499">
        <w:rPr>
          <w:rFonts w:eastAsia="Calibri"/>
          <w:b/>
          <w:sz w:val="28"/>
          <w:szCs w:val="28"/>
          <w:lang w:val="es-ES"/>
        </w:rPr>
        <w:t xml:space="preserve"> </w:t>
      </w:r>
      <w:r w:rsidRPr="00581499">
        <w:rPr>
          <w:rFonts w:eastAsia="Calibri"/>
          <w:bCs/>
          <w:sz w:val="28"/>
          <w:szCs w:val="28"/>
          <w:lang w:val="es-ES"/>
        </w:rPr>
        <w:t xml:space="preserve">2) </w:t>
      </w:r>
      <w:r w:rsidRPr="008B25B4">
        <w:rPr>
          <w:bCs/>
          <w:sz w:val="28"/>
          <w:szCs w:val="28"/>
          <w:lang w:val="es-ES"/>
        </w:rPr>
        <w:t xml:space="preserve">Các xét nghiệm </w:t>
      </w:r>
      <w:r w:rsidRPr="008B25B4">
        <w:rPr>
          <w:bCs/>
          <w:sz w:val="28"/>
          <w:szCs w:val="28"/>
          <w:lang w:val="es-ES"/>
        </w:rPr>
        <w:lastRenderedPageBreak/>
        <w:t xml:space="preserve">hình ảnh: </w:t>
      </w:r>
      <w:r w:rsidRPr="008B25B4">
        <w:rPr>
          <w:sz w:val="28"/>
          <w:szCs w:val="28"/>
          <w:lang w:val="es-ES"/>
        </w:rPr>
        <w:t>siêu âm, chụp cắt lớp vi tính ổ bụng và một số phương tiện chẩn đoán hình ảnh khác có thể đánh giá sự thay đổi hình thái gan và tình trạng tăng áp lực tĩnh mạch cửa. Ngoài ra có thể cung cấp thông tin các bệnh lý kết hợp.</w:t>
      </w:r>
      <w:r w:rsidRPr="00581499">
        <w:rPr>
          <w:rFonts w:eastAsia="Calibri"/>
          <w:bCs/>
          <w:sz w:val="28"/>
          <w:szCs w:val="28"/>
          <w:lang w:val="es-ES"/>
        </w:rPr>
        <w:t xml:space="preserve"> </w:t>
      </w:r>
      <w:r w:rsidRPr="008B25B4">
        <w:rPr>
          <w:bCs/>
          <w:iCs/>
          <w:sz w:val="28"/>
          <w:szCs w:val="28"/>
          <w:lang w:val="es-ES"/>
        </w:rPr>
        <w:t xml:space="preserve">3) Các thủ thuật chẩn đoán: </w:t>
      </w:r>
      <w:r w:rsidRPr="008B25B4">
        <w:rPr>
          <w:sz w:val="28"/>
          <w:szCs w:val="28"/>
          <w:lang w:val="es-ES"/>
        </w:rPr>
        <w:t xml:space="preserve">XG đôi khi được phát hiện trong quá trình phẫu thuật ổ bụng hoặc nội soi ổ bụng. Sinh thiết gan được đặt ra trong một số tình huống nghi ngờ hoặc nhằm xác định nguyên nhân gây xơ gan. </w:t>
      </w:r>
    </w:p>
    <w:p w:rsidR="00AB2C97" w:rsidRPr="008B25B4" w:rsidRDefault="00AB2C97" w:rsidP="00AB2C97">
      <w:pPr>
        <w:rPr>
          <w:b/>
          <w:bCs/>
          <w:iCs/>
          <w:sz w:val="28"/>
          <w:szCs w:val="28"/>
          <w:lang w:val="es-ES"/>
        </w:rPr>
      </w:pPr>
      <w:r w:rsidRPr="008B25B4">
        <w:rPr>
          <w:b/>
          <w:bCs/>
          <w:iCs/>
          <w:sz w:val="28"/>
          <w:szCs w:val="28"/>
          <w:lang w:val="es-ES"/>
        </w:rPr>
        <w:t xml:space="preserve">Điều trị: </w:t>
      </w:r>
      <w:r w:rsidRPr="008B25B4">
        <w:rPr>
          <w:sz w:val="28"/>
          <w:szCs w:val="28"/>
          <w:lang w:val="es-ES"/>
        </w:rPr>
        <w:t>mục tiêu điều trị là chữa khỏi hoặc giảm các yếu tố nguyên nhân gây xơ gan, phòng ngừa hoặc làm chậm sự tiến triển của tổn thương gan, điều trị và dự phòng các biến chứng của xơ gan.</w:t>
      </w:r>
    </w:p>
    <w:p w:rsidR="00AB2C97" w:rsidRPr="008B25B4" w:rsidRDefault="00AB2C97" w:rsidP="00AB2C97">
      <w:pPr>
        <w:rPr>
          <w:sz w:val="28"/>
          <w:szCs w:val="28"/>
          <w:lang w:val="es-ES"/>
        </w:rPr>
      </w:pPr>
      <w:r w:rsidRPr="008B25B4">
        <w:rPr>
          <w:b/>
          <w:i/>
          <w:sz w:val="28"/>
          <w:szCs w:val="28"/>
          <w:lang w:val="es-ES"/>
        </w:rPr>
        <w:t xml:space="preserve">Thuốc hỗ trợ: </w:t>
      </w:r>
      <w:r w:rsidRPr="008B25B4">
        <w:rPr>
          <w:bCs/>
          <w:iCs/>
          <w:sz w:val="28"/>
          <w:szCs w:val="28"/>
          <w:lang w:val="es-ES"/>
        </w:rPr>
        <w:t>1)</w:t>
      </w:r>
      <w:r w:rsidRPr="008B25B4">
        <w:rPr>
          <w:b/>
          <w:i/>
          <w:sz w:val="28"/>
          <w:szCs w:val="28"/>
          <w:lang w:val="es-ES"/>
        </w:rPr>
        <w:t xml:space="preserve"> </w:t>
      </w:r>
      <w:r w:rsidRPr="008B25B4">
        <w:rPr>
          <w:sz w:val="28"/>
          <w:szCs w:val="28"/>
          <w:lang w:val="es-ES"/>
        </w:rPr>
        <w:t>dùng kháng sinh trong các trường hợp nhiễm khuẩn.</w:t>
      </w:r>
      <w:r w:rsidRPr="008B25B4">
        <w:rPr>
          <w:b/>
          <w:i/>
          <w:sz w:val="28"/>
          <w:szCs w:val="28"/>
          <w:lang w:val="es-ES"/>
        </w:rPr>
        <w:t xml:space="preserve"> 2) </w:t>
      </w:r>
      <w:r w:rsidRPr="008B25B4">
        <w:rPr>
          <w:sz w:val="28"/>
          <w:szCs w:val="28"/>
          <w:lang w:val="es-ES"/>
        </w:rPr>
        <w:t>Lợi tiểu nếu có phù chi, cổ trướng</w:t>
      </w:r>
      <w:r w:rsidRPr="008B25B4">
        <w:rPr>
          <w:b/>
          <w:i/>
          <w:sz w:val="28"/>
          <w:szCs w:val="28"/>
          <w:lang w:val="es-ES"/>
        </w:rPr>
        <w:t xml:space="preserve">. </w:t>
      </w:r>
      <w:r w:rsidRPr="008B25B4">
        <w:rPr>
          <w:bCs/>
          <w:iCs/>
          <w:sz w:val="28"/>
          <w:szCs w:val="28"/>
          <w:lang w:val="es-ES"/>
        </w:rPr>
        <w:t>3)</w:t>
      </w:r>
      <w:r w:rsidRPr="008B25B4">
        <w:rPr>
          <w:sz w:val="28"/>
          <w:szCs w:val="28"/>
          <w:lang w:val="es-ES"/>
        </w:rPr>
        <w:t>Thuốc chẹn beta làm giảm áp lực tĩnh mạch cửa nếu bệnh nhân có nguy cơ biến chứng cao do tình trạng tăng áp lực tĩnh mạch cửa (như chảy máu do vỡ giãn tĩnh mạch thực quản phình vị).</w:t>
      </w:r>
      <w:r w:rsidRPr="008B25B4">
        <w:rPr>
          <w:b/>
          <w:i/>
          <w:sz w:val="28"/>
          <w:szCs w:val="28"/>
          <w:lang w:val="es-ES"/>
        </w:rPr>
        <w:t xml:space="preserve"> </w:t>
      </w:r>
      <w:r w:rsidRPr="008B25B4">
        <w:rPr>
          <w:bCs/>
          <w:iCs/>
          <w:sz w:val="28"/>
          <w:szCs w:val="28"/>
          <w:lang w:val="es-ES"/>
        </w:rPr>
        <w:t xml:space="preserve">4) </w:t>
      </w:r>
      <w:r w:rsidRPr="008B25B4">
        <w:rPr>
          <w:sz w:val="28"/>
          <w:szCs w:val="28"/>
          <w:lang w:val="es-ES"/>
        </w:rPr>
        <w:t>Các thuốc nhuận tràng, kháng sinh đường ruột,  acid amin phân nhánh giúp giảm hấp thu và tăng chuyển hóa ammoniac,  điều trị và dự phòng bệnh não gan. 5) Nếu bệnh nhân bị viêm gan virus B hoặc C, cần được điều trị thuốc kháng virus thích hợp.</w:t>
      </w:r>
    </w:p>
    <w:p w:rsidR="00AB2C97" w:rsidRPr="008B25B4" w:rsidRDefault="00AB2C97" w:rsidP="00AB2C97">
      <w:pPr>
        <w:rPr>
          <w:sz w:val="28"/>
          <w:szCs w:val="28"/>
          <w:lang w:val="es-ES"/>
        </w:rPr>
      </w:pPr>
      <w:r w:rsidRPr="008B25B4">
        <w:rPr>
          <w:b/>
          <w:bCs/>
          <w:i/>
          <w:iCs/>
          <w:sz w:val="28"/>
          <w:szCs w:val="28"/>
          <w:lang w:val="es-ES"/>
        </w:rPr>
        <w:t>Điều trị giãn tĩnh mạch thực quản:</w:t>
      </w:r>
      <w:r w:rsidRPr="008B25B4">
        <w:rPr>
          <w:sz w:val="28"/>
          <w:szCs w:val="28"/>
          <w:lang w:val="es-ES"/>
        </w:rPr>
        <w:t xml:space="preserve"> 1) Nội soi thắt vòng cao su hoặc tiêm xơ cầm máu để điều trị những trường hợp có biến chứng chảy máu do vỡ giãn tĩnh mạch thực quản. 2) Phẫu thuật nối cửa chủ hoặc tạo shunt cửa chủ trong gan qua đường tĩnh mạch cảnh, hoặc can thiệp nút búi giãn tĩnh mạch thực quản-phình vị trong những trường hợp điều trị nội khoa và nội soi thất bại.</w:t>
      </w:r>
    </w:p>
    <w:p w:rsidR="00AB2C97" w:rsidRPr="00581499" w:rsidRDefault="00AB2C97" w:rsidP="00AB2C97">
      <w:pPr>
        <w:spacing w:after="0"/>
        <w:rPr>
          <w:b/>
          <w:i/>
          <w:sz w:val="28"/>
          <w:szCs w:val="28"/>
        </w:rPr>
      </w:pPr>
      <w:r w:rsidRPr="008B25B4">
        <w:rPr>
          <w:b/>
          <w:i/>
          <w:sz w:val="28"/>
          <w:szCs w:val="28"/>
          <w:lang w:val="es-ES"/>
        </w:rPr>
        <w:t>Các phương pháp điều trị khác</w:t>
      </w:r>
      <w:r w:rsidRPr="008B25B4">
        <w:rPr>
          <w:bCs/>
          <w:iCs/>
          <w:sz w:val="28"/>
          <w:szCs w:val="28"/>
          <w:lang w:val="es-ES"/>
        </w:rPr>
        <w:t>: 1) Đ</w:t>
      </w:r>
      <w:r w:rsidRPr="00581499">
        <w:rPr>
          <w:rFonts w:eastAsia="Calibri"/>
          <w:sz w:val="28"/>
          <w:szCs w:val="28"/>
          <w:lang w:val="x-none" w:eastAsia="x-none"/>
        </w:rPr>
        <w:t>iều chỉnh chế độ ăn uống phù hợp</w:t>
      </w:r>
      <w:r w:rsidRPr="008B25B4">
        <w:rPr>
          <w:rFonts w:eastAsia="Calibri"/>
          <w:sz w:val="28"/>
          <w:szCs w:val="28"/>
          <w:lang w:val="es-ES" w:eastAsia="x-none"/>
        </w:rPr>
        <w:t>.</w:t>
      </w:r>
      <w:r w:rsidRPr="008B25B4">
        <w:rPr>
          <w:b/>
          <w:i/>
          <w:sz w:val="28"/>
          <w:szCs w:val="28"/>
          <w:lang w:val="es-ES"/>
        </w:rPr>
        <w:t xml:space="preserve"> </w:t>
      </w:r>
      <w:r w:rsidRPr="008B25B4">
        <w:rPr>
          <w:rFonts w:eastAsia="Calibri"/>
          <w:sz w:val="28"/>
          <w:szCs w:val="28"/>
          <w:lang w:val="es-ES" w:eastAsia="x-none"/>
        </w:rPr>
        <w:t xml:space="preserve">2) </w:t>
      </w:r>
      <w:r w:rsidRPr="00581499">
        <w:rPr>
          <w:rFonts w:eastAsia="Calibri"/>
          <w:sz w:val="28"/>
          <w:szCs w:val="28"/>
          <w:lang w:val="x-none" w:eastAsia="x-none"/>
        </w:rPr>
        <w:t>Một số thuốc y học cổ truyền có tác dụng hỗ trợ cải thiện chức năng gan</w:t>
      </w:r>
      <w:r w:rsidRPr="008B25B4">
        <w:rPr>
          <w:rFonts w:eastAsia="Calibri"/>
          <w:sz w:val="28"/>
          <w:szCs w:val="28"/>
          <w:lang w:val="es-ES" w:eastAsia="x-none"/>
        </w:rPr>
        <w:t xml:space="preserve">. 3) </w:t>
      </w:r>
      <w:r w:rsidRPr="00581499">
        <w:rPr>
          <w:rFonts w:eastAsia="Calibri"/>
          <w:sz w:val="28"/>
          <w:szCs w:val="28"/>
          <w:lang w:val="x-none" w:eastAsia="x-none"/>
        </w:rPr>
        <w:t xml:space="preserve">Cấy tế bào gốc điều trị </w:t>
      </w:r>
      <w:r w:rsidRPr="008B25B4">
        <w:rPr>
          <w:rFonts w:eastAsia="Calibri"/>
          <w:sz w:val="28"/>
          <w:szCs w:val="28"/>
          <w:lang w:val="es-ES" w:eastAsia="x-none"/>
        </w:rPr>
        <w:t xml:space="preserve">XG </w:t>
      </w:r>
      <w:r w:rsidRPr="00581499">
        <w:rPr>
          <w:rFonts w:eastAsia="Calibri"/>
          <w:sz w:val="28"/>
          <w:szCs w:val="28"/>
          <w:lang w:val="x-none" w:eastAsia="x-none"/>
        </w:rPr>
        <w:t xml:space="preserve">cũng đang được thử nghiệm. </w:t>
      </w:r>
      <w:r w:rsidRPr="00581499">
        <w:rPr>
          <w:rFonts w:eastAsia="Calibri"/>
          <w:sz w:val="28"/>
          <w:szCs w:val="28"/>
          <w:lang w:eastAsia="x-none"/>
        </w:rPr>
        <w:t>3)</w:t>
      </w:r>
      <w:r w:rsidRPr="00581499">
        <w:rPr>
          <w:sz w:val="28"/>
          <w:szCs w:val="28"/>
        </w:rPr>
        <w:t xml:space="preserve"> Ghép gan là biện pháp cuối cùng và lý tưởng nhất để điều trị XG.</w:t>
      </w:r>
    </w:p>
    <w:p w:rsidR="00AB2C97" w:rsidRPr="00581499" w:rsidRDefault="00AB2C97" w:rsidP="00AB2C97">
      <w:pPr>
        <w:tabs>
          <w:tab w:val="left" w:pos="1080"/>
        </w:tabs>
        <w:spacing w:before="120"/>
        <w:rPr>
          <w:rFonts w:eastAsia="Calibri"/>
          <w:b/>
          <w:sz w:val="28"/>
          <w:szCs w:val="28"/>
          <w:lang w:val="es-ES"/>
        </w:rPr>
      </w:pPr>
      <w:r w:rsidRPr="00581499">
        <w:rPr>
          <w:rFonts w:eastAsia="Calibri"/>
          <w:b/>
          <w:sz w:val="28"/>
          <w:szCs w:val="28"/>
          <w:lang w:val="es-ES"/>
        </w:rPr>
        <w:t xml:space="preserve">Tiên lượng: </w:t>
      </w:r>
      <w:r w:rsidRPr="00581499">
        <w:rPr>
          <w:rFonts w:eastAsia="Calibri"/>
          <w:bCs/>
          <w:sz w:val="28"/>
          <w:szCs w:val="28"/>
          <w:lang w:val="es-ES"/>
        </w:rPr>
        <w:t>s</w:t>
      </w:r>
      <w:r w:rsidRPr="00581499">
        <w:rPr>
          <w:sz w:val="28"/>
          <w:szCs w:val="28"/>
        </w:rPr>
        <w:t>ự phá hủy nhu mô gan trong XG không hồi phục được, nhưng có thể hạn chế tổn thương tiến triển thêm bằng chế độ dinh dưỡng và điều trị thuốc men hợp lý, ngừng uống rượu và tránh bị nhiễm khuẩn.</w:t>
      </w:r>
      <w:r w:rsidRPr="00581499">
        <w:rPr>
          <w:rFonts w:eastAsia="Calibri"/>
          <w:b/>
          <w:sz w:val="28"/>
          <w:szCs w:val="28"/>
          <w:lang w:val="es-ES"/>
        </w:rPr>
        <w:t xml:space="preserve"> </w:t>
      </w:r>
      <w:r w:rsidRPr="008B25B4">
        <w:rPr>
          <w:sz w:val="28"/>
          <w:szCs w:val="28"/>
          <w:lang w:val="es-ES"/>
        </w:rPr>
        <w:t xml:space="preserve">XG còn bù tiên lượng còn </w:t>
      </w:r>
      <w:r w:rsidRPr="008B25B4">
        <w:rPr>
          <w:sz w:val="28"/>
          <w:szCs w:val="28"/>
          <w:lang w:val="es-ES"/>
        </w:rPr>
        <w:lastRenderedPageBreak/>
        <w:t>khá tốt nếu bệnh nhân được kiểm soát các yếu tố nguyên nhân.</w:t>
      </w:r>
      <w:r w:rsidRPr="00581499">
        <w:rPr>
          <w:rFonts w:eastAsia="Calibri"/>
          <w:b/>
          <w:sz w:val="28"/>
          <w:szCs w:val="28"/>
          <w:lang w:val="es-ES"/>
        </w:rPr>
        <w:t xml:space="preserve"> </w:t>
      </w:r>
      <w:r w:rsidRPr="008B25B4">
        <w:rPr>
          <w:sz w:val="28"/>
          <w:szCs w:val="28"/>
          <w:lang w:val="es-ES"/>
        </w:rPr>
        <w:t>Khi XG mất bù, xuất hiện các biến chứng, tiên lượng sẽ xấu đi nhiều.</w:t>
      </w:r>
    </w:p>
    <w:p w:rsidR="00AB2C97" w:rsidRPr="00581499" w:rsidRDefault="00AB2C97" w:rsidP="00AB2C97">
      <w:pPr>
        <w:tabs>
          <w:tab w:val="left" w:pos="1080"/>
        </w:tabs>
        <w:spacing w:before="120"/>
        <w:rPr>
          <w:rFonts w:eastAsia="Calibri"/>
          <w:b/>
          <w:sz w:val="28"/>
          <w:szCs w:val="28"/>
          <w:lang w:val="es-ES"/>
        </w:rPr>
      </w:pPr>
      <w:r w:rsidRPr="00581499">
        <w:rPr>
          <w:rFonts w:eastAsia="Calibri"/>
          <w:b/>
          <w:sz w:val="28"/>
          <w:szCs w:val="28"/>
          <w:lang w:val="es-ES"/>
        </w:rPr>
        <w:t xml:space="preserve">Dự Phòng: </w:t>
      </w:r>
      <w:r w:rsidRPr="008B25B4">
        <w:rPr>
          <w:sz w:val="28"/>
          <w:szCs w:val="28"/>
          <w:lang w:val="es-ES"/>
        </w:rPr>
        <w:t>ngừng, hạn chế rượu bia; tiêm phòng vaccine viêm gan B; phòng tránh các con đường lây truyền viêm gan; điều trị tốt viêm gan B, C nếu có; hạn chế dùng các thuốc có khả năng gây tổn thương gan.</w:t>
      </w:r>
    </w:p>
    <w:p w:rsidR="00AB2C97" w:rsidRPr="00581499" w:rsidRDefault="00AB2C97" w:rsidP="00AB2C97">
      <w:pPr>
        <w:spacing w:before="120" w:after="0" w:line="276" w:lineRule="auto"/>
        <w:ind w:firstLine="567"/>
        <w:contextualSpacing/>
        <w:jc w:val="right"/>
        <w:rPr>
          <w:b/>
          <w:sz w:val="20"/>
          <w:szCs w:val="20"/>
          <w:lang w:val="vi-VN"/>
        </w:rPr>
      </w:pPr>
      <w:r w:rsidRPr="00581499">
        <w:rPr>
          <w:b/>
          <w:sz w:val="20"/>
          <w:szCs w:val="20"/>
          <w:lang w:val="vi-VN"/>
        </w:rPr>
        <w:t>MAI HỒNG BÀNG</w:t>
      </w:r>
    </w:p>
    <w:p w:rsidR="00AB2C97" w:rsidRPr="00581499" w:rsidRDefault="00AB2C97" w:rsidP="00AB2C97">
      <w:pPr>
        <w:contextualSpacing/>
        <w:rPr>
          <w:rFonts w:eastAsia="Calibri"/>
          <w:lang w:val="x-none" w:eastAsia="x-none"/>
        </w:rPr>
      </w:pPr>
      <w:r w:rsidRPr="008B25B4">
        <w:rPr>
          <w:rFonts w:eastAsia="Calibri"/>
          <w:b/>
          <w:bCs/>
          <w:lang w:val="es-ES" w:eastAsia="x-none"/>
        </w:rPr>
        <w:t>Tài liệu tham khảo</w:t>
      </w:r>
    </w:p>
    <w:p w:rsidR="00AB2C97" w:rsidRPr="00581499" w:rsidRDefault="00AB2C97" w:rsidP="00AB2C97">
      <w:pPr>
        <w:contextualSpacing/>
        <w:rPr>
          <w:rFonts w:eastAsia="Calibri"/>
          <w:lang w:val="x-none" w:eastAsia="x-none"/>
        </w:rPr>
      </w:pPr>
      <w:r w:rsidRPr="00581499">
        <w:rPr>
          <w:rFonts w:eastAsia="Calibri"/>
          <w:lang w:eastAsia="x-none"/>
        </w:rPr>
        <w:t>1.</w:t>
      </w:r>
      <w:r w:rsidRPr="00581499">
        <w:rPr>
          <w:rFonts w:eastAsia="Calibri"/>
          <w:lang w:val="x-none" w:eastAsia="x-none"/>
        </w:rPr>
        <w:t>KMS Publishing.com.</w:t>
      </w:r>
      <w:r w:rsidRPr="00581499">
        <w:rPr>
          <w:rFonts w:eastAsia="Calibri"/>
          <w:lang w:eastAsia="x-none"/>
        </w:rPr>
        <w:t xml:space="preserve"> </w:t>
      </w:r>
      <w:r w:rsidRPr="00581499">
        <w:rPr>
          <w:rFonts w:eastAsia="Calibri"/>
          <w:lang w:val="x-none" w:eastAsia="x-none"/>
        </w:rPr>
        <w:t>Living with Alcoholism: Your Guide to</w:t>
      </w:r>
      <w:r w:rsidRPr="00581499">
        <w:rPr>
          <w:rFonts w:eastAsia="Calibri"/>
          <w:lang w:val="x-none" w:eastAsia="x-none"/>
        </w:rPr>
        <w:br/>
        <w:t xml:space="preserve">Dealing with Alcohol Abuse and Addiction While Getting the Alcoholism Treatment You Need. Charleston, SC: CreateSpace, 2010. </w:t>
      </w:r>
    </w:p>
    <w:p w:rsidR="00AB2C97" w:rsidRPr="00581499" w:rsidRDefault="00AB2C97" w:rsidP="00AB2C97">
      <w:pPr>
        <w:contextualSpacing/>
        <w:rPr>
          <w:rFonts w:eastAsia="Calibri"/>
          <w:lang w:val="x-none" w:eastAsia="x-none"/>
        </w:rPr>
      </w:pPr>
      <w:r w:rsidRPr="00581499">
        <w:rPr>
          <w:rFonts w:eastAsia="Calibri"/>
          <w:lang w:eastAsia="x-none"/>
        </w:rPr>
        <w:t>2.</w:t>
      </w:r>
      <w:r w:rsidRPr="00581499">
        <w:rPr>
          <w:rFonts w:eastAsia="Calibri"/>
          <w:lang w:val="x-none" w:eastAsia="x-none"/>
        </w:rPr>
        <w:t xml:space="preserve">Younossi, Zobair M. Practical Management of Liver Diseases. New York: Cambridge University Press, 2008. </w:t>
      </w:r>
    </w:p>
    <w:p w:rsidR="00AB2C97" w:rsidRPr="00581499" w:rsidRDefault="00AB2C97" w:rsidP="00AB2C97">
      <w:pPr>
        <w:contextualSpacing/>
        <w:rPr>
          <w:rFonts w:eastAsia="Calibri"/>
          <w:lang w:val="x-none" w:eastAsia="x-none"/>
        </w:rPr>
      </w:pPr>
      <w:r w:rsidRPr="00581499">
        <w:rPr>
          <w:rFonts w:eastAsia="Calibri"/>
          <w:lang w:eastAsia="x-none"/>
        </w:rPr>
        <w:t>3.</w:t>
      </w:r>
      <w:r w:rsidRPr="00581499">
        <w:rPr>
          <w:rFonts w:eastAsia="Calibri"/>
          <w:lang w:val="x-none" w:eastAsia="x-none"/>
        </w:rPr>
        <w:t>Zein, Nizar, and Kevin M. Edwards. The Cleveland Clinic Guide to Liver Disorders. New York: Kaplan Publishing, 2009.</w:t>
      </w:r>
    </w:p>
    <w:p w:rsidR="00AB2C97" w:rsidRPr="00581499" w:rsidRDefault="00AB2C97" w:rsidP="00AB2C97">
      <w:pPr>
        <w:contextualSpacing/>
        <w:rPr>
          <w:rFonts w:eastAsia="Calibri"/>
          <w:lang w:val="x-none" w:eastAsia="x-none"/>
        </w:rPr>
      </w:pPr>
      <w:r w:rsidRPr="00581499">
        <w:rPr>
          <w:rFonts w:eastAsia="Calibri"/>
          <w:lang w:eastAsia="x-none"/>
        </w:rPr>
        <w:t>4.</w:t>
      </w:r>
      <w:r w:rsidRPr="00581499">
        <w:rPr>
          <w:rFonts w:eastAsia="Calibri"/>
          <w:lang w:val="x-none" w:eastAsia="x-none"/>
        </w:rPr>
        <w:t>Cha, C. H., et al. ‘‘Resection of Hepatocellular Carcinoma in Patients Otherwise Eligible for Transplantation.’’ Annals of Surgery 238 (September 2003): 315–321.</w:t>
      </w:r>
    </w:p>
    <w:p w:rsidR="00AB2C97" w:rsidRPr="00581499" w:rsidRDefault="00AB2C97" w:rsidP="00AB2C97">
      <w:pPr>
        <w:contextualSpacing/>
        <w:rPr>
          <w:rFonts w:eastAsia="Calibri"/>
          <w:lang w:val="x-none" w:eastAsia="x-none"/>
        </w:rPr>
      </w:pPr>
      <w:r w:rsidRPr="00581499">
        <w:rPr>
          <w:rFonts w:eastAsia="Calibri"/>
          <w:lang w:eastAsia="x-none"/>
        </w:rPr>
        <w:t>5.</w:t>
      </w:r>
      <w:r w:rsidRPr="00581499">
        <w:rPr>
          <w:rFonts w:eastAsia="Calibri"/>
          <w:lang w:val="x-none" w:eastAsia="x-none"/>
        </w:rPr>
        <w:t>Foreman, M. G., D. M. Mannino, and M. Moss. ‘‘Cirrhosis as a Risk Factor for Sepsis and Death: Analysis of the National Hospital Discharge Survey.’’ Chest 124 (September 2003): 1016–1020</w:t>
      </w:r>
    </w:p>
    <w:p w:rsidR="00AB2C97" w:rsidRPr="00581499" w:rsidRDefault="00AB2C97" w:rsidP="00AB2C97">
      <w:pPr>
        <w:contextualSpacing/>
        <w:rPr>
          <w:rFonts w:eastAsia="Calibri"/>
          <w:lang w:val="x-none" w:eastAsia="x-none"/>
        </w:rPr>
      </w:pPr>
      <w:r w:rsidRPr="00581499">
        <w:rPr>
          <w:rFonts w:eastAsia="Calibri"/>
          <w:lang w:eastAsia="x-none"/>
        </w:rPr>
        <w:t>6.</w:t>
      </w:r>
      <w:r w:rsidRPr="00581499">
        <w:rPr>
          <w:rFonts w:eastAsia="Calibri"/>
          <w:lang w:val="x-none" w:eastAsia="x-none"/>
        </w:rPr>
        <w:t xml:space="preserve">American Liver Foundation, 75 Maiden Lane, Suite 603, New York, NY, (212) 668-1000, </w:t>
      </w:r>
      <w:hyperlink r:id="rId5" w:history="1">
        <w:r w:rsidRPr="00581499">
          <w:rPr>
            <w:rFonts w:eastAsia="Calibri"/>
            <w:lang w:val="x-none" w:eastAsia="x-none"/>
          </w:rPr>
          <w:t>http://www.liver</w:t>
        </w:r>
      </w:hyperlink>
      <w:r w:rsidRPr="00581499">
        <w:rPr>
          <w:rFonts w:eastAsia="Calibri"/>
          <w:lang w:eastAsia="x-none"/>
        </w:rPr>
        <w:t xml:space="preserve"> </w:t>
      </w:r>
      <w:r w:rsidRPr="00581499">
        <w:rPr>
          <w:rFonts w:eastAsia="Calibri"/>
          <w:lang w:val="x-none" w:eastAsia="x-none"/>
        </w:rPr>
        <w:t>foundation.org.</w:t>
      </w:r>
      <w:r w:rsidRPr="00581499">
        <w:rPr>
          <w:rFonts w:eastAsia="Calibri"/>
          <w:lang w:val="x-none" w:eastAsia="x-none"/>
        </w:rPr>
        <w:br/>
        <w:t xml:space="preserve">National Institutes of Health (NIH), 9000 Rockville Pike, Bethesda, MD, 20892, (301) 496-4000, </w:t>
      </w:r>
      <w:hyperlink r:id="rId6" w:history="1">
        <w:r w:rsidRPr="00581499">
          <w:rPr>
            <w:rFonts w:eastAsia="Calibri"/>
            <w:lang w:val="x-none" w:eastAsia="x-none"/>
          </w:rPr>
          <w:t>http://www</w:t>
        </w:r>
      </w:hyperlink>
      <w:r w:rsidRPr="00581499">
        <w:rPr>
          <w:rFonts w:eastAsia="Calibri"/>
          <w:lang w:val="x-none" w:eastAsia="x-none"/>
        </w:rPr>
        <w:t>. nih.gov.</w:t>
      </w:r>
    </w:p>
    <w:p w:rsidR="00AB2C97" w:rsidRPr="00581499" w:rsidRDefault="00AB2C97" w:rsidP="00AB2C97">
      <w:pPr>
        <w:contextualSpacing/>
        <w:rPr>
          <w:rFonts w:eastAsia="Calibri"/>
          <w:lang w:val="x-none" w:eastAsia="x-none"/>
        </w:rPr>
      </w:pPr>
      <w:r w:rsidRPr="00581499">
        <w:rPr>
          <w:rFonts w:eastAsia="Calibri"/>
          <w:lang w:eastAsia="x-none"/>
        </w:rPr>
        <w:t>7.</w:t>
      </w:r>
      <w:r w:rsidRPr="00581499">
        <w:rPr>
          <w:rFonts w:eastAsia="Calibri"/>
          <w:lang w:val="x-none" w:eastAsia="x-none"/>
        </w:rPr>
        <w:t>United Network for Organ Sharing, P.O. Box 2484, Richmond, VA, 23218, (804) 782-4800, http://www.unos.org.</w:t>
      </w:r>
    </w:p>
    <w:p w:rsidR="000B6BAA" w:rsidRPr="00AB2C97" w:rsidRDefault="000B6BAA" w:rsidP="00AB2C97">
      <w:pPr>
        <w:ind w:firstLine="0"/>
        <w:rPr>
          <w:rFonts w:eastAsia="Calibri"/>
        </w:rPr>
      </w:pPr>
      <w:bookmarkStart w:id="2" w:name="_GoBack"/>
      <w:bookmarkEnd w:id="2"/>
    </w:p>
    <w:sectPr w:rsidR="000B6BAA" w:rsidRPr="00AB2C97"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6ADA"/>
    <w:multiLevelType w:val="hybridMultilevel"/>
    <w:tmpl w:val="CFB6275E"/>
    <w:lvl w:ilvl="0" w:tplc="BF88365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408749DE"/>
    <w:multiLevelType w:val="hybridMultilevel"/>
    <w:tmpl w:val="C0C0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abstractNum w:abstractNumId="4" w15:restartNumberingAfterBreak="0">
    <w:nsid w:val="7C8F43C1"/>
    <w:multiLevelType w:val="hybridMultilevel"/>
    <w:tmpl w:val="9594D02A"/>
    <w:lvl w:ilvl="0" w:tplc="1E88A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2052D"/>
    <w:rsid w:val="0003237F"/>
    <w:rsid w:val="00042029"/>
    <w:rsid w:val="000420C5"/>
    <w:rsid w:val="000454E3"/>
    <w:rsid w:val="00053B68"/>
    <w:rsid w:val="00063AF9"/>
    <w:rsid w:val="000A1345"/>
    <w:rsid w:val="000B49F6"/>
    <w:rsid w:val="000B6BAA"/>
    <w:rsid w:val="000D2F90"/>
    <w:rsid w:val="000F6B69"/>
    <w:rsid w:val="00100EA7"/>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21F09"/>
    <w:rsid w:val="00334693"/>
    <w:rsid w:val="0034219C"/>
    <w:rsid w:val="00351C42"/>
    <w:rsid w:val="00374CBE"/>
    <w:rsid w:val="00381949"/>
    <w:rsid w:val="00381E4A"/>
    <w:rsid w:val="003838FF"/>
    <w:rsid w:val="00391A26"/>
    <w:rsid w:val="003A3820"/>
    <w:rsid w:val="003C4B5A"/>
    <w:rsid w:val="0041721F"/>
    <w:rsid w:val="00417CE8"/>
    <w:rsid w:val="00421B3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A7617"/>
    <w:rsid w:val="005B22C3"/>
    <w:rsid w:val="005D59D5"/>
    <w:rsid w:val="00600DBD"/>
    <w:rsid w:val="0060249D"/>
    <w:rsid w:val="00607EE7"/>
    <w:rsid w:val="0062421E"/>
    <w:rsid w:val="00643571"/>
    <w:rsid w:val="00652E8A"/>
    <w:rsid w:val="00691048"/>
    <w:rsid w:val="00693761"/>
    <w:rsid w:val="006B6DD6"/>
    <w:rsid w:val="006C6214"/>
    <w:rsid w:val="006E1CD0"/>
    <w:rsid w:val="006E2834"/>
    <w:rsid w:val="00713B3B"/>
    <w:rsid w:val="00727150"/>
    <w:rsid w:val="007540B6"/>
    <w:rsid w:val="00765265"/>
    <w:rsid w:val="00767E28"/>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2C97"/>
    <w:rsid w:val="00AB59B5"/>
    <w:rsid w:val="00AC62D3"/>
    <w:rsid w:val="00AE3FD1"/>
    <w:rsid w:val="00AF4E95"/>
    <w:rsid w:val="00B05A69"/>
    <w:rsid w:val="00B10732"/>
    <w:rsid w:val="00B30FA1"/>
    <w:rsid w:val="00B44C50"/>
    <w:rsid w:val="00B55151"/>
    <w:rsid w:val="00B7534C"/>
    <w:rsid w:val="00B83CC3"/>
    <w:rsid w:val="00B85ADD"/>
    <w:rsid w:val="00B92741"/>
    <w:rsid w:val="00B97FA5"/>
    <w:rsid w:val="00BB1C53"/>
    <w:rsid w:val="00BD1BC1"/>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55EB7"/>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26CB"/>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5" Type="http://schemas.openxmlformats.org/officeDocument/2006/relationships/hyperlink" Target="http://www.liv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207</cp:revision>
  <dcterms:created xsi:type="dcterms:W3CDTF">2025-11-24T04:30:00Z</dcterms:created>
  <dcterms:modified xsi:type="dcterms:W3CDTF">2025-12-08T09:13:00Z</dcterms:modified>
</cp:coreProperties>
</file>